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CAC5CE">
      <w:pPr>
        <w:spacing w:line="257" w:lineRule="auto"/>
        <w:jc w:val="center"/>
        <w:rPr>
          <w:color w:val="auto"/>
          <w:lang w:eastAsia="zh-CN"/>
        </w:rPr>
      </w:pPr>
      <w:r>
        <w:rPr>
          <w:rFonts w:hint="default" w:ascii="Times New Roman" w:hAnsi="Times New Roman" w:eastAsia="黑体"/>
          <w:kern w:val="2"/>
          <w:sz w:val="30"/>
          <w:szCs w:val="30"/>
        </w:rPr>
        <w:t>《</w:t>
      </w:r>
      <w:bookmarkStart w:id="0" w:name="_Hlk206748941"/>
      <w:r>
        <w:rPr>
          <w:rFonts w:hint="eastAsia" w:ascii="黑体" w:hAnsi="黑体" w:eastAsia="黑体" w:cs="黑体"/>
          <w:color w:val="auto"/>
          <w:spacing w:val="-2"/>
          <w:sz w:val="30"/>
          <w:szCs w:val="30"/>
          <w:lang w:eastAsia="zh-CN"/>
        </w:rPr>
        <w:t>果蔬中农药残留快速定量检测</w:t>
      </w:r>
      <w:r>
        <w:rPr>
          <w:rFonts w:ascii="黑体" w:hAnsi="黑体" w:eastAsia="黑体" w:cs="黑体"/>
          <w:color w:val="auto"/>
          <w:spacing w:val="-2"/>
          <w:sz w:val="30"/>
          <w:szCs w:val="30"/>
          <w:lang w:eastAsia="zh-CN"/>
        </w:rPr>
        <w:t xml:space="preserve"> </w:t>
      </w:r>
      <w:r>
        <w:rPr>
          <w:rFonts w:hint="eastAsia" w:ascii="黑体" w:hAnsi="黑体" w:eastAsia="黑体" w:cs="黑体"/>
          <w:color w:val="auto"/>
          <w:spacing w:val="-2"/>
          <w:sz w:val="30"/>
          <w:szCs w:val="30"/>
          <w:lang w:eastAsia="zh-CN"/>
        </w:rPr>
        <w:t>荧光定量免疫层析试纸条法技术规范》</w:t>
      </w:r>
      <w:r>
        <w:rPr>
          <w:rFonts w:hint="default" w:ascii="Times New Roman" w:hAnsi="Times New Roman" w:eastAsia="黑体" w:cstheme="minorBidi"/>
          <w:kern w:val="2"/>
          <w:sz w:val="30"/>
          <w:szCs w:val="30"/>
          <w:lang w:val="en-US" w:eastAsia="zh-CN" w:bidi="ar-SA"/>
        </w:rPr>
        <w:t>编制说明</w:t>
      </w:r>
    </w:p>
    <w:bookmarkEnd w:id="0"/>
    <w:p w14:paraId="1B624C93">
      <w:pPr>
        <w:pStyle w:val="3"/>
        <w:keepNext w:val="0"/>
        <w:keepLines w:val="0"/>
        <w:pageBreakBefore w:val="0"/>
        <w:widowControl/>
        <w:shd w:val="clear" w:color="auto" w:fill="FFFFFF"/>
        <w:kinsoku/>
        <w:wordWrap/>
        <w:overflowPunct/>
        <w:topLinePunct w:val="0"/>
        <w:autoSpaceDE/>
        <w:autoSpaceDN/>
        <w:bidi w:val="0"/>
        <w:adjustRightInd/>
        <w:snapToGrid/>
        <w:spacing w:before="157" w:beforeLines="50" w:beforeAutospacing="0" w:after="157" w:afterLines="50" w:afterAutospacing="0" w:line="360" w:lineRule="auto"/>
        <w:ind w:left="0"/>
        <w:textAlignment w:val="auto"/>
        <w:rPr>
          <w:rFonts w:hint="eastAsia" w:ascii="黑体" w:hAnsi="黑体" w:eastAsia="黑体" w:cs="黑体"/>
          <w:b w:val="0"/>
          <w:bCs w:val="0"/>
          <w:color w:val="000000"/>
          <w:sz w:val="21"/>
          <w:szCs w:val="21"/>
        </w:rPr>
      </w:pPr>
      <w:r>
        <w:rPr>
          <w:rFonts w:hint="eastAsia" w:ascii="黑体" w:hAnsi="黑体" w:eastAsia="黑体" w:cs="黑体"/>
          <w:b w:val="0"/>
          <w:bCs w:val="0"/>
          <w:color w:val="000000"/>
          <w:sz w:val="21"/>
          <w:szCs w:val="21"/>
          <w:shd w:val="clear" w:color="auto" w:fill="FFFFFF"/>
        </w:rPr>
        <w:t>一、工作简况</w:t>
      </w:r>
    </w:p>
    <w:p w14:paraId="734A70A4">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left="0"/>
        <w:textAlignment w:val="auto"/>
        <w:rPr>
          <w:rFonts w:hint="eastAsia" w:ascii="黑体" w:hAnsi="黑体" w:eastAsia="黑体" w:cs="黑体"/>
          <w:b w:val="0"/>
          <w:bCs w:val="0"/>
          <w:color w:val="000000"/>
          <w:sz w:val="21"/>
          <w:szCs w:val="21"/>
        </w:rPr>
      </w:pPr>
      <w:r>
        <w:rPr>
          <w:rFonts w:hint="eastAsia" w:ascii="黑体" w:hAnsi="黑体" w:eastAsia="黑体" w:cs="黑体"/>
          <w:b w:val="0"/>
          <w:bCs w:val="0"/>
          <w:color w:val="000000"/>
          <w:sz w:val="21"/>
          <w:szCs w:val="21"/>
          <w:shd w:val="clear" w:color="auto" w:fill="FFFFFF"/>
        </w:rPr>
        <w:t>（一）任务来源</w:t>
      </w:r>
    </w:p>
    <w:p w14:paraId="74F55C1F">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firstLine="420" w:firstLineChars="200"/>
        <w:textAlignment w:val="auto"/>
        <w:rPr>
          <w:rFonts w:hint="eastAsia" w:asciiTheme="minorEastAsia" w:hAnsiTheme="minorEastAsia" w:eastAsiaTheme="minorEastAsia" w:cstheme="minorEastAsia"/>
          <w:b w:val="0"/>
          <w:bCs w:val="0"/>
          <w:kern w:val="0"/>
          <w:sz w:val="21"/>
          <w:szCs w:val="21"/>
          <w:shd w:val="clear" w:color="auto" w:fill="FFFFFF"/>
          <w:lang w:val="en-US" w:eastAsia="zh-CN" w:bidi="ar"/>
        </w:rPr>
      </w:pPr>
      <w:r>
        <w:rPr>
          <w:rFonts w:hint="eastAsia" w:asciiTheme="minorEastAsia" w:hAnsiTheme="minorEastAsia" w:eastAsiaTheme="minorEastAsia" w:cstheme="minorEastAsia"/>
          <w:b w:val="0"/>
          <w:bCs w:val="0"/>
          <w:kern w:val="0"/>
          <w:sz w:val="21"/>
          <w:szCs w:val="21"/>
          <w:shd w:val="clear" w:color="auto" w:fill="FFFFFF"/>
          <w:lang w:val="en-US" w:eastAsia="zh-CN" w:bidi="ar"/>
        </w:rPr>
        <w:t>本团体标准的制定任务源于当前果蔬质量安全监管与产业发展的实际需求。随着消费者对食品安全关注度的不断提升，以及农产品市场准入制度的逐步完善，传统农药残留检测方法（如气相色谱法、液相色谱法）存在操作复杂、检测周期长、设备成本高的问题，难以满足基层监管、生产企业快速筛查的需求。为规范荧光定量免疫层析试纸条法在果蔬农药残留检测中的应用，提升检测结果的准确性与一致性，由 [</w:t>
      </w:r>
      <w:r>
        <w:rPr>
          <w:rFonts w:hint="eastAsia" w:asciiTheme="minorEastAsia" w:hAnsiTheme="minorEastAsia" w:eastAsiaTheme="minorEastAsia" w:cstheme="minorEastAsia"/>
          <w:b w:val="0"/>
          <w:bCs w:val="0"/>
          <w:kern w:val="0"/>
          <w:sz w:val="21"/>
          <w:szCs w:val="21"/>
          <w:highlight w:val="yellow"/>
          <w:shd w:val="clear" w:color="auto" w:fill="FFFFFF"/>
          <w:lang w:val="en-US" w:eastAsia="zh-CN" w:bidi="ar"/>
        </w:rPr>
        <w:t>牵头单位名称</w:t>
      </w:r>
      <w:r>
        <w:rPr>
          <w:rFonts w:hint="eastAsia" w:asciiTheme="minorEastAsia" w:hAnsiTheme="minorEastAsia" w:eastAsiaTheme="minorEastAsia" w:cstheme="minorEastAsia"/>
          <w:b w:val="0"/>
          <w:bCs w:val="0"/>
          <w:kern w:val="0"/>
          <w:sz w:val="21"/>
          <w:szCs w:val="21"/>
          <w:shd w:val="clear" w:color="auto" w:fill="FFFFFF"/>
          <w:lang w:val="en-US" w:eastAsia="zh-CN" w:bidi="ar"/>
        </w:rPr>
        <w:t>] 发起，经</w:t>
      </w:r>
      <w:r>
        <w:rPr>
          <w:rFonts w:hint="eastAsia" w:asciiTheme="minorEastAsia" w:hAnsiTheme="minorEastAsia" w:eastAsiaTheme="minorEastAsia" w:cstheme="minorEastAsia"/>
          <w:b w:val="0"/>
          <w:bCs w:val="0"/>
          <w:kern w:val="0"/>
          <w:sz w:val="21"/>
          <w:szCs w:val="21"/>
          <w:highlight w:val="none"/>
          <w:shd w:val="clear" w:color="auto" w:fill="FFFFFF"/>
          <w:lang w:val="en-US" w:eastAsia="zh-CN" w:bidi="ar"/>
        </w:rPr>
        <w:t>中国食品药品企业质量安全促进会</w:t>
      </w:r>
      <w:r>
        <w:rPr>
          <w:rFonts w:hint="eastAsia" w:asciiTheme="minorEastAsia" w:hAnsiTheme="minorEastAsia" w:eastAsiaTheme="minorEastAsia" w:cstheme="minorEastAsia"/>
          <w:b w:val="0"/>
          <w:bCs w:val="0"/>
          <w:kern w:val="0"/>
          <w:sz w:val="21"/>
          <w:szCs w:val="21"/>
          <w:shd w:val="clear" w:color="auto" w:fill="FFFFFF"/>
          <w:lang w:val="en-US" w:eastAsia="zh-CN" w:bidi="ar"/>
        </w:rPr>
        <w:t>批准立项。</w:t>
      </w:r>
    </w:p>
    <w:p w14:paraId="6F2F3BB8">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left="0"/>
        <w:textAlignment w:val="auto"/>
        <w:rPr>
          <w:rFonts w:hint="eastAsia" w:ascii="黑体" w:hAnsi="黑体" w:eastAsia="黑体" w:cs="黑体"/>
          <w:b w:val="0"/>
          <w:bCs w:val="0"/>
          <w:color w:val="000000"/>
          <w:sz w:val="21"/>
          <w:szCs w:val="21"/>
        </w:rPr>
      </w:pPr>
      <w:r>
        <w:rPr>
          <w:rFonts w:hint="eastAsia" w:ascii="黑体" w:hAnsi="黑体" w:eastAsia="黑体" w:cs="黑体"/>
          <w:b w:val="0"/>
          <w:bCs w:val="0"/>
          <w:color w:val="000000"/>
          <w:sz w:val="21"/>
          <w:szCs w:val="21"/>
          <w:shd w:val="clear" w:color="auto" w:fill="FFFFFF"/>
        </w:rPr>
        <w:t>（二）目的、意义及必要性</w:t>
      </w:r>
    </w:p>
    <w:p w14:paraId="788DA4C7">
      <w:pPr>
        <w:pStyle w:val="1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20" w:firstLineChars="200"/>
        <w:textAlignment w:val="auto"/>
        <w:rPr>
          <w:rFonts w:hint="eastAsia" w:asciiTheme="minorEastAsia" w:hAnsiTheme="minorEastAsia" w:eastAsiaTheme="minorEastAsia" w:cstheme="minorEastAsia"/>
          <w:b w:val="0"/>
          <w:bCs w:val="0"/>
          <w:sz w:val="21"/>
          <w:szCs w:val="21"/>
        </w:rPr>
      </w:pPr>
      <w:r>
        <w:rPr>
          <w:rFonts w:hint="eastAsia" w:ascii="黑体" w:hAnsi="黑体" w:eastAsia="黑体" w:cs="黑体"/>
          <w:b w:val="0"/>
          <w:bCs w:val="0"/>
          <w:sz w:val="21"/>
          <w:szCs w:val="21"/>
        </w:rPr>
        <w:t>目的：</w:t>
      </w:r>
      <w:r>
        <w:rPr>
          <w:rFonts w:hint="eastAsia" w:asciiTheme="minorEastAsia" w:hAnsiTheme="minorEastAsia" w:eastAsiaTheme="minorEastAsia" w:cstheme="minorEastAsia"/>
          <w:b w:val="0"/>
          <w:bCs w:val="0"/>
          <w:sz w:val="21"/>
          <w:szCs w:val="21"/>
        </w:rPr>
        <w:t>明确荧光定量免疫层析试纸条法检测果蔬中农药残留的技术要求、操作流程、结果判定及质量控制指标，为检测机构、生产企业、监管部门提供统一、规范的技术依据。</w:t>
      </w:r>
    </w:p>
    <w:p w14:paraId="759160A7">
      <w:pPr>
        <w:pStyle w:val="1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20" w:firstLineChars="200"/>
        <w:textAlignment w:val="auto"/>
        <w:rPr>
          <w:rFonts w:hint="eastAsia" w:asciiTheme="minorEastAsia" w:hAnsiTheme="minorEastAsia" w:eastAsiaTheme="minorEastAsia" w:cstheme="minorEastAsia"/>
          <w:b w:val="0"/>
          <w:bCs w:val="0"/>
          <w:sz w:val="21"/>
          <w:szCs w:val="21"/>
        </w:rPr>
      </w:pPr>
      <w:r>
        <w:rPr>
          <w:rFonts w:hint="eastAsia" w:ascii="黑体" w:hAnsi="黑体" w:eastAsia="黑体" w:cs="黑体"/>
          <w:b w:val="0"/>
          <w:bCs w:val="0"/>
          <w:sz w:val="21"/>
          <w:szCs w:val="21"/>
        </w:rPr>
        <w:t>意义：</w:t>
      </w:r>
      <w:r>
        <w:rPr>
          <w:rFonts w:hint="eastAsia" w:asciiTheme="minorEastAsia" w:hAnsiTheme="minorEastAsia" w:eastAsiaTheme="minorEastAsia" w:cstheme="minorEastAsia"/>
          <w:b w:val="0"/>
          <w:bCs w:val="0"/>
          <w:sz w:val="21"/>
          <w:szCs w:val="21"/>
        </w:rPr>
        <w:t>一是填补国内该检测方法团体标准的空白，解决当前不同机构检测流程不统一、结果可比性差的问题；二是推动快速检测技术在基层的普及应用，缩短检测周期，降低检测成本，助力果蔬从 “田间到餐桌” 的全链条质量管控；三是保障消费者健康，提升我国果蔬产品的市场竞争力，促进农产品产业高质量发展。</w:t>
      </w:r>
    </w:p>
    <w:p w14:paraId="33CAD6D4">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left="0" w:firstLine="420" w:firstLineChars="200"/>
        <w:textAlignment w:val="auto"/>
        <w:rPr>
          <w:rFonts w:hint="eastAsia" w:asciiTheme="minorEastAsia" w:hAnsiTheme="minorEastAsia" w:eastAsiaTheme="minorEastAsia" w:cstheme="minorEastAsia"/>
          <w:b w:val="0"/>
          <w:bCs w:val="0"/>
          <w:sz w:val="21"/>
          <w:szCs w:val="21"/>
        </w:rPr>
      </w:pPr>
      <w:r>
        <w:rPr>
          <w:rFonts w:hint="eastAsia" w:ascii="黑体" w:hAnsi="黑体" w:eastAsia="黑体" w:cs="黑体"/>
          <w:b w:val="0"/>
          <w:bCs w:val="0"/>
          <w:kern w:val="0"/>
          <w:sz w:val="21"/>
          <w:szCs w:val="21"/>
        </w:rPr>
        <w:t>必要性：</w:t>
      </w:r>
      <w:r>
        <w:rPr>
          <w:rFonts w:hint="eastAsia" w:asciiTheme="minorEastAsia" w:hAnsiTheme="minorEastAsia" w:eastAsiaTheme="minorEastAsia" w:cstheme="minorEastAsia"/>
          <w:b w:val="0"/>
          <w:bCs w:val="0"/>
          <w:sz w:val="21"/>
          <w:szCs w:val="21"/>
        </w:rPr>
        <w:t>当前我国果蔬农药残留检测领域，虽有 GB/T 27404-2008《实验室质量控制规范 食品理化检测》等通用标准，但针对荧光定量免疫层析试纸条法的专项技术规范尚未完善。部分企业自行制定的企业标准存在技术指标不统一、质量控制要求缺失等问题，导致检测结果可信度低，甚至出现 “同一样品、不同检测机构结果差异显著” 的情况。此外，随着该类检测产品的快速迭代，亟需通过团体标准明确技术参数，引导行业规范发展，因此本标准的制定具有迫切的现实必要性。</w:t>
      </w:r>
    </w:p>
    <w:p w14:paraId="78C0EAA1">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left="0"/>
        <w:textAlignment w:val="auto"/>
        <w:rPr>
          <w:rFonts w:hint="eastAsia" w:ascii="黑体" w:hAnsi="黑体" w:eastAsia="黑体" w:cs="黑体"/>
          <w:b w:val="0"/>
          <w:bCs w:val="0"/>
          <w:color w:val="000000"/>
          <w:sz w:val="21"/>
          <w:szCs w:val="21"/>
        </w:rPr>
      </w:pPr>
      <w:r>
        <w:rPr>
          <w:rFonts w:hint="eastAsia" w:ascii="黑体" w:hAnsi="黑体" w:eastAsia="黑体" w:cs="黑体"/>
          <w:b w:val="0"/>
          <w:bCs w:val="0"/>
          <w:color w:val="000000"/>
          <w:sz w:val="21"/>
          <w:szCs w:val="21"/>
          <w:shd w:val="clear" w:color="auto" w:fill="FFFFFF"/>
        </w:rPr>
        <w:t>（三）团体标准起草单位和主要起草人</w:t>
      </w:r>
    </w:p>
    <w:p w14:paraId="322AA06E">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left="0" w:firstLine="420" w:firstLineChars="200"/>
        <w:jc w:val="left"/>
        <w:textAlignment w:val="auto"/>
        <w:rPr>
          <w:rFonts w:hint="eastAsia" w:asciiTheme="minorEastAsia" w:hAnsiTheme="minorEastAsia" w:eastAsiaTheme="minorEastAsia" w:cstheme="minorEastAsia"/>
          <w:b w:val="0"/>
          <w:bCs w:val="0"/>
          <w:kern w:val="0"/>
          <w:sz w:val="21"/>
          <w:szCs w:val="21"/>
          <w:shd w:val="clear" w:color="auto" w:fill="FFFFFF"/>
          <w:lang w:bidi="ar"/>
        </w:rPr>
      </w:pPr>
      <w:r>
        <w:rPr>
          <w:rFonts w:hint="eastAsia" w:asciiTheme="minorEastAsia" w:hAnsiTheme="minorEastAsia" w:eastAsiaTheme="minorEastAsia" w:cstheme="minorEastAsia"/>
          <w:b w:val="0"/>
          <w:bCs w:val="0"/>
          <w:sz w:val="21"/>
          <w:szCs w:val="21"/>
        </w:rPr>
        <w:t>本标准由 [</w:t>
      </w:r>
      <w:r>
        <w:rPr>
          <w:rFonts w:hint="eastAsia" w:asciiTheme="minorEastAsia" w:hAnsiTheme="minorEastAsia" w:cstheme="minorEastAsia"/>
          <w:b w:val="0"/>
          <w:bCs w:val="0"/>
          <w:sz w:val="21"/>
          <w:szCs w:val="21"/>
          <w:highlight w:val="yellow"/>
          <w:lang w:val="en-US" w:eastAsia="zh-CN"/>
        </w:rPr>
        <w:t xml:space="preserve">   </w:t>
      </w:r>
      <w:r>
        <w:rPr>
          <w:rFonts w:hint="eastAsia" w:asciiTheme="minorEastAsia" w:hAnsiTheme="minorEastAsia" w:eastAsiaTheme="minorEastAsia" w:cstheme="minorEastAsia"/>
          <w:b w:val="0"/>
          <w:bCs w:val="0"/>
          <w:sz w:val="21"/>
          <w:szCs w:val="21"/>
        </w:rPr>
        <w:t>] 牵头起草</w:t>
      </w:r>
    </w:p>
    <w:p w14:paraId="4130236C">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left="0"/>
        <w:textAlignment w:val="auto"/>
        <w:rPr>
          <w:rFonts w:hint="eastAsia" w:ascii="黑体" w:hAnsi="黑体" w:eastAsia="黑体" w:cs="黑体"/>
          <w:b w:val="0"/>
          <w:bCs w:val="0"/>
          <w:color w:val="000000"/>
          <w:sz w:val="21"/>
          <w:szCs w:val="21"/>
        </w:rPr>
      </w:pPr>
      <w:r>
        <w:rPr>
          <w:rFonts w:hint="eastAsia" w:ascii="黑体" w:hAnsi="黑体" w:eastAsia="黑体" w:cs="黑体"/>
          <w:b w:val="0"/>
          <w:bCs w:val="0"/>
          <w:color w:val="000000"/>
          <w:sz w:val="21"/>
          <w:szCs w:val="21"/>
          <w:shd w:val="clear" w:color="auto" w:fill="FFFFFF"/>
        </w:rPr>
        <w:t>（四）参与单位</w:t>
      </w:r>
    </w:p>
    <w:p w14:paraId="0974ABB7">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left="0" w:firstLine="420" w:firstLineChars="200"/>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参与单位（</w:t>
      </w:r>
      <w:r>
        <w:rPr>
          <w:rFonts w:hint="eastAsia" w:asciiTheme="minorEastAsia" w:hAnsiTheme="minorEastAsia" w:eastAsiaTheme="minorEastAsia" w:cstheme="minorEastAsia"/>
          <w:b w:val="0"/>
          <w:bCs w:val="0"/>
          <w:sz w:val="21"/>
          <w:szCs w:val="21"/>
          <w:highlight w:val="yellow"/>
          <w:lang w:val="en-US" w:eastAsia="zh-CN"/>
        </w:rPr>
        <w:t xml:space="preserve">      </w:t>
      </w:r>
      <w:r>
        <w:rPr>
          <w:rFonts w:hint="eastAsia" w:asciiTheme="minorEastAsia" w:hAnsiTheme="minorEastAsia" w:eastAsiaTheme="minorEastAsia" w:cstheme="minorEastAsia"/>
          <w:b w:val="0"/>
          <w:bCs w:val="0"/>
          <w:sz w:val="21"/>
          <w:szCs w:val="21"/>
          <w:lang w:val="en-US" w:eastAsia="zh-CN"/>
        </w:rPr>
        <w:t>）</w:t>
      </w:r>
      <w:r>
        <w:rPr>
          <w:rFonts w:hint="eastAsia" w:asciiTheme="minorEastAsia" w:hAnsiTheme="minorEastAsia" w:eastAsiaTheme="minorEastAsia" w:cstheme="minorEastAsia"/>
          <w:b w:val="0"/>
          <w:bCs w:val="0"/>
          <w:sz w:val="21"/>
          <w:szCs w:val="21"/>
        </w:rPr>
        <w:t>等单位</w:t>
      </w:r>
      <w:r>
        <w:rPr>
          <w:rFonts w:hint="eastAsia" w:asciiTheme="minorEastAsia" w:hAnsiTheme="minorEastAsia" w:eastAsiaTheme="minorEastAsia" w:cstheme="minorEastAsia"/>
          <w:b w:val="0"/>
          <w:bCs w:val="0"/>
          <w:sz w:val="21"/>
          <w:szCs w:val="21"/>
          <w:lang w:val="en-US" w:eastAsia="zh-CN"/>
        </w:rPr>
        <w:t>及参与人（</w:t>
      </w:r>
      <w:r>
        <w:rPr>
          <w:rFonts w:hint="eastAsia" w:asciiTheme="minorEastAsia" w:hAnsiTheme="minorEastAsia" w:eastAsiaTheme="minorEastAsia" w:cstheme="minorEastAsia"/>
          <w:b w:val="0"/>
          <w:bCs w:val="0"/>
          <w:sz w:val="21"/>
          <w:szCs w:val="21"/>
          <w:highlight w:val="yellow"/>
          <w:lang w:val="en-US" w:eastAsia="zh-CN"/>
        </w:rPr>
        <w:t xml:space="preserve">    </w:t>
      </w:r>
      <w:r>
        <w:rPr>
          <w:rFonts w:hint="eastAsia" w:asciiTheme="minorEastAsia" w:hAnsiTheme="minorEastAsia" w:eastAsiaTheme="minorEastAsia" w:cstheme="minorEastAsia"/>
          <w:b w:val="0"/>
          <w:bCs w:val="0"/>
          <w:sz w:val="21"/>
          <w:szCs w:val="21"/>
          <w:lang w:val="en-US" w:eastAsia="zh-CN"/>
        </w:rPr>
        <w:t>）</w:t>
      </w:r>
      <w:r>
        <w:rPr>
          <w:rFonts w:hint="eastAsia" w:asciiTheme="minorEastAsia" w:hAnsiTheme="minorEastAsia" w:eastAsiaTheme="minorEastAsia" w:cstheme="minorEastAsia"/>
          <w:b w:val="0"/>
          <w:bCs w:val="0"/>
          <w:sz w:val="21"/>
          <w:szCs w:val="21"/>
        </w:rPr>
        <w:t>共同编制。参与单位涵盖了科研机构、法定检测机构、生产企业、流通企业等产业链各环节，具备丰富的技术研发、检测实践及产业应用经验，能够确保标准内容的科学性、全面性与实用性。</w:t>
      </w:r>
    </w:p>
    <w:p w14:paraId="5B945408">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jc w:val="left"/>
        <w:textAlignment w:val="auto"/>
        <w:rPr>
          <w:rFonts w:hint="eastAsia" w:ascii="黑体" w:hAnsi="黑体" w:eastAsia="黑体" w:cs="黑体"/>
          <w:b w:val="0"/>
          <w:bCs w:val="0"/>
          <w:color w:val="000000"/>
          <w:sz w:val="21"/>
          <w:szCs w:val="21"/>
        </w:rPr>
      </w:pPr>
      <w:r>
        <w:rPr>
          <w:rFonts w:hint="eastAsia" w:ascii="黑体" w:hAnsi="黑体" w:eastAsia="黑体" w:cs="黑体"/>
          <w:b w:val="0"/>
          <w:bCs w:val="0"/>
          <w:color w:val="000000"/>
          <w:sz w:val="21"/>
          <w:szCs w:val="21"/>
          <w:shd w:val="clear" w:color="auto" w:fill="FFFFFF"/>
        </w:rPr>
        <w:t>（五）主要工作</w:t>
      </w:r>
    </w:p>
    <w:p w14:paraId="4C61CC50">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left="0"/>
        <w:textAlignment w:val="auto"/>
        <w:rPr>
          <w:rFonts w:hint="eastAsia" w:ascii="黑体" w:hAnsi="黑体" w:eastAsia="黑体" w:cs="黑体"/>
          <w:b w:val="0"/>
          <w:bCs w:val="0"/>
          <w:kern w:val="2"/>
          <w:sz w:val="21"/>
          <w:szCs w:val="21"/>
          <w:lang w:val="en-US" w:eastAsia="zh-CN" w:bidi="ar-SA"/>
        </w:rPr>
      </w:pPr>
      <w:r>
        <w:rPr>
          <w:rFonts w:hint="eastAsia" w:ascii="黑体" w:hAnsi="黑体" w:eastAsia="黑体" w:cs="黑体"/>
          <w:b w:val="0"/>
          <w:bCs w:val="0"/>
          <w:kern w:val="2"/>
          <w:sz w:val="21"/>
          <w:szCs w:val="21"/>
          <w:lang w:val="en-US" w:eastAsia="zh-CN" w:bidi="ar-SA"/>
        </w:rPr>
        <w:t>1.起草阶段</w:t>
      </w:r>
    </w:p>
    <w:p w14:paraId="32704D5C">
      <w:pPr>
        <w:pStyle w:val="13"/>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黑体" w:hAnsi="黑体" w:eastAsia="黑体" w:cs="黑体"/>
          <w:b w:val="0"/>
          <w:bCs w:val="0"/>
          <w:kern w:val="2"/>
          <w:sz w:val="21"/>
          <w:szCs w:val="21"/>
          <w:lang w:val="en-US" w:eastAsia="zh-CN" w:bidi="ar-SA"/>
        </w:rPr>
        <w:t>成立标准起草工作组：</w:t>
      </w:r>
      <w:r>
        <w:rPr>
          <w:rFonts w:hint="eastAsia" w:asciiTheme="minorEastAsia" w:hAnsiTheme="minorEastAsia" w:eastAsiaTheme="minorEastAsia" w:cstheme="minorEastAsia"/>
          <w:b w:val="0"/>
          <w:bCs w:val="0"/>
          <w:kern w:val="2"/>
          <w:sz w:val="21"/>
          <w:szCs w:val="21"/>
          <w:lang w:val="en-US" w:eastAsia="zh-CN" w:bidi="ar-SA"/>
        </w:rPr>
        <w:t>明确各参与单位职责，确定组长（[</w:t>
      </w:r>
      <w:r>
        <w:rPr>
          <w:rFonts w:hint="eastAsia" w:asciiTheme="minorEastAsia" w:hAnsiTheme="minorEastAsia" w:eastAsiaTheme="minorEastAsia" w:cstheme="minorEastAsia"/>
          <w:b w:val="0"/>
          <w:bCs w:val="0"/>
          <w:kern w:val="2"/>
          <w:sz w:val="21"/>
          <w:szCs w:val="21"/>
          <w:highlight w:val="yellow"/>
          <w:lang w:val="en-US" w:eastAsia="zh-CN" w:bidi="ar-SA"/>
        </w:rPr>
        <w:t>牵头单位负责人姓名及职务</w:t>
      </w:r>
      <w:r>
        <w:rPr>
          <w:rFonts w:hint="eastAsia" w:asciiTheme="minorEastAsia" w:hAnsiTheme="minorEastAsia" w:eastAsiaTheme="minorEastAsia" w:cstheme="minorEastAsia"/>
          <w:b w:val="0"/>
          <w:bCs w:val="0"/>
          <w:kern w:val="2"/>
          <w:sz w:val="21"/>
          <w:szCs w:val="21"/>
          <w:lang w:val="en-US" w:eastAsia="zh-CN" w:bidi="ar-SA"/>
        </w:rPr>
        <w:t>] ）及核心起草人员，制定详细的工作方案与时间节点。</w:t>
      </w:r>
    </w:p>
    <w:p w14:paraId="6DC2447C">
      <w:pPr>
        <w:pStyle w:val="13"/>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黑体" w:hAnsi="黑体" w:eastAsia="黑体" w:cs="黑体"/>
          <w:b w:val="0"/>
          <w:bCs w:val="0"/>
          <w:kern w:val="2"/>
          <w:sz w:val="21"/>
          <w:szCs w:val="21"/>
          <w:lang w:val="en-US" w:eastAsia="zh-CN" w:bidi="ar-SA"/>
        </w:rPr>
        <w:t>文献调研与数据收集：</w:t>
      </w:r>
      <w:r>
        <w:rPr>
          <w:rFonts w:hint="eastAsia" w:asciiTheme="minorEastAsia" w:hAnsiTheme="minorEastAsia" w:eastAsiaTheme="minorEastAsia" w:cstheme="minorEastAsia"/>
          <w:b w:val="0"/>
          <w:bCs w:val="0"/>
          <w:kern w:val="2"/>
          <w:sz w:val="21"/>
          <w:szCs w:val="21"/>
          <w:lang w:val="en-US" w:eastAsia="zh-CN" w:bidi="ar-SA"/>
        </w:rPr>
        <w:t>系统梳理国内外相关标准（如 ISO 16000-6:2021《室内空气 第 6 部分：用质谱联用仪（GC-MS）测定室内空气中的有机化合物》、GB 2763-2024《食品安全国家标准 食品中农药最大残留限量》），收集国内主流荧光定量免疫层析试纸条产品的技术参数（如检测限、特异性、重复性）、实际检测案例数据，分析当前技术应用中的关键问题。</w:t>
      </w:r>
    </w:p>
    <w:p w14:paraId="137AB9FD">
      <w:pPr>
        <w:pStyle w:val="13"/>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黑体" w:hAnsi="黑体" w:eastAsia="黑体" w:cs="黑体"/>
          <w:b w:val="0"/>
          <w:bCs w:val="0"/>
          <w:kern w:val="2"/>
          <w:sz w:val="21"/>
          <w:szCs w:val="21"/>
          <w:lang w:val="en-US" w:eastAsia="zh-CN" w:bidi="ar-SA"/>
        </w:rPr>
        <w:t>初稿编制：</w:t>
      </w:r>
      <w:r>
        <w:rPr>
          <w:rFonts w:hint="eastAsia" w:asciiTheme="minorEastAsia" w:hAnsiTheme="minorEastAsia" w:eastAsiaTheme="minorEastAsia" w:cstheme="minorEastAsia"/>
          <w:b w:val="0"/>
          <w:bCs w:val="0"/>
          <w:kern w:val="2"/>
          <w:sz w:val="21"/>
          <w:szCs w:val="21"/>
          <w:lang w:val="en-US" w:eastAsia="zh-CN" w:bidi="ar-SA"/>
        </w:rPr>
        <w:t>结合调研结果与实践需求，确定标准的框架结构，完成标准初稿的撰写，并组织工作组内部研讨，修改完善后形成标准讨论稿。</w:t>
      </w:r>
    </w:p>
    <w:p w14:paraId="2C0F2EF7">
      <w:pPr>
        <w:pStyle w:val="13"/>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textAlignment w:val="auto"/>
        <w:rPr>
          <w:rFonts w:hint="eastAsia" w:ascii="黑体" w:hAnsi="黑体" w:eastAsia="黑体" w:cs="黑体"/>
          <w:b w:val="0"/>
          <w:bCs w:val="0"/>
          <w:kern w:val="2"/>
          <w:sz w:val="21"/>
          <w:szCs w:val="21"/>
          <w:lang w:val="en-US" w:eastAsia="zh-CN" w:bidi="ar-SA"/>
        </w:rPr>
      </w:pPr>
      <w:r>
        <w:rPr>
          <w:rFonts w:hint="eastAsia" w:ascii="黑体" w:hAnsi="黑体" w:eastAsia="黑体" w:cs="黑体"/>
          <w:b w:val="0"/>
          <w:bCs w:val="0"/>
          <w:kern w:val="2"/>
          <w:sz w:val="21"/>
          <w:szCs w:val="21"/>
          <w:lang w:val="en-US" w:eastAsia="zh-CN" w:bidi="ar-SA"/>
        </w:rPr>
        <w:t>2. 征求意见阶段</w:t>
      </w:r>
    </w:p>
    <w:p w14:paraId="17106D57">
      <w:pPr>
        <w:pStyle w:val="13"/>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黑体" w:hAnsi="黑体" w:eastAsia="黑体" w:cs="黑体"/>
          <w:b w:val="0"/>
          <w:bCs w:val="0"/>
          <w:kern w:val="2"/>
          <w:sz w:val="21"/>
          <w:szCs w:val="21"/>
          <w:lang w:val="en-US" w:eastAsia="zh-CN" w:bidi="ar-SA"/>
        </w:rPr>
        <w:t>意见征集范围：</w:t>
      </w:r>
      <w:r>
        <w:rPr>
          <w:rFonts w:hint="eastAsia" w:asciiTheme="minorEastAsia" w:hAnsiTheme="minorEastAsia" w:eastAsiaTheme="minorEastAsia" w:cstheme="minorEastAsia"/>
          <w:b w:val="0"/>
          <w:bCs w:val="0"/>
          <w:kern w:val="2"/>
          <w:sz w:val="21"/>
          <w:szCs w:val="21"/>
          <w:lang w:val="en-US" w:eastAsia="zh-CN" w:bidi="ar-SA"/>
        </w:rPr>
        <w:t>采用 “线上 + 线下” 结合的方式，向行业内科研机构、检测机构、生产企业等 [</w:t>
      </w:r>
      <w:r>
        <w:rPr>
          <w:rFonts w:hint="eastAsia" w:asciiTheme="minorEastAsia" w:hAnsiTheme="minorEastAsia" w:eastAsiaTheme="minorEastAsia" w:cstheme="minorEastAsia"/>
          <w:b w:val="0"/>
          <w:bCs w:val="0"/>
          <w:kern w:val="2"/>
          <w:sz w:val="21"/>
          <w:szCs w:val="21"/>
          <w:highlight w:val="yellow"/>
          <w:lang w:val="en-US" w:eastAsia="zh-CN" w:bidi="ar-SA"/>
        </w:rPr>
        <w:t>数量XXX家</w:t>
      </w:r>
      <w:r>
        <w:rPr>
          <w:rFonts w:hint="eastAsia" w:asciiTheme="minorEastAsia" w:hAnsiTheme="minorEastAsia" w:eastAsiaTheme="minorEastAsia" w:cstheme="minorEastAsia"/>
          <w:b w:val="0"/>
          <w:bCs w:val="0"/>
          <w:kern w:val="2"/>
          <w:sz w:val="21"/>
          <w:szCs w:val="21"/>
          <w:lang w:val="en-US" w:eastAsia="zh-CN" w:bidi="ar-SA"/>
        </w:rPr>
        <w:t>] 单位及 [</w:t>
      </w:r>
      <w:r>
        <w:rPr>
          <w:rFonts w:hint="eastAsia" w:asciiTheme="minorEastAsia" w:hAnsiTheme="minorEastAsia" w:eastAsiaTheme="minorEastAsia" w:cstheme="minorEastAsia"/>
          <w:b w:val="0"/>
          <w:bCs w:val="0"/>
          <w:kern w:val="2"/>
          <w:sz w:val="21"/>
          <w:szCs w:val="21"/>
          <w:highlight w:val="yellow"/>
          <w:lang w:val="en-US" w:eastAsia="zh-CN" w:bidi="ar-SA"/>
        </w:rPr>
        <w:t>数量XXX余位</w:t>
      </w:r>
      <w:r>
        <w:rPr>
          <w:rFonts w:hint="eastAsia" w:asciiTheme="minorEastAsia" w:hAnsiTheme="minorEastAsia" w:eastAsiaTheme="minorEastAsia" w:cstheme="minorEastAsia"/>
          <w:b w:val="0"/>
          <w:bCs w:val="0"/>
          <w:kern w:val="2"/>
          <w:sz w:val="21"/>
          <w:szCs w:val="21"/>
          <w:lang w:val="en-US" w:eastAsia="zh-CN" w:bidi="ar-SA"/>
        </w:rPr>
        <w:t>] 行业专家征求意见，同时在全国标准化信息平台公开征求社会意见，征集期为 30 天。</w:t>
      </w:r>
    </w:p>
    <w:p w14:paraId="7F0871CA">
      <w:pPr>
        <w:pStyle w:val="13"/>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黑体" w:hAnsi="黑体" w:eastAsia="黑体" w:cs="黑体"/>
          <w:b w:val="0"/>
          <w:bCs w:val="0"/>
          <w:kern w:val="2"/>
          <w:sz w:val="21"/>
          <w:szCs w:val="21"/>
          <w:lang w:val="en-US" w:eastAsia="zh-CN" w:bidi="ar-SA"/>
        </w:rPr>
        <w:t>意见处理：</w:t>
      </w:r>
      <w:r>
        <w:rPr>
          <w:rFonts w:hint="eastAsia" w:asciiTheme="minorEastAsia" w:hAnsiTheme="minorEastAsia" w:eastAsiaTheme="minorEastAsia" w:cstheme="minorEastAsia"/>
          <w:b w:val="0"/>
          <w:bCs w:val="0"/>
          <w:kern w:val="2"/>
          <w:sz w:val="21"/>
          <w:szCs w:val="21"/>
          <w:lang w:val="en-US" w:eastAsia="zh-CN" w:bidi="ar-SA"/>
        </w:rPr>
        <w:t>共收到反馈意见 [</w:t>
      </w:r>
      <w:r>
        <w:rPr>
          <w:rFonts w:hint="eastAsia" w:asciiTheme="minorEastAsia" w:hAnsiTheme="minorEastAsia" w:eastAsiaTheme="minorEastAsia" w:cstheme="minorEastAsia"/>
          <w:b w:val="0"/>
          <w:bCs w:val="0"/>
          <w:kern w:val="2"/>
          <w:sz w:val="21"/>
          <w:szCs w:val="21"/>
          <w:highlight w:val="yellow"/>
          <w:lang w:val="en-US" w:eastAsia="zh-CN" w:bidi="ar-SA"/>
        </w:rPr>
        <w:t>数量xxx 条</w:t>
      </w:r>
      <w:r>
        <w:rPr>
          <w:rFonts w:hint="eastAsia" w:asciiTheme="minorEastAsia" w:hAnsiTheme="minorEastAsia" w:eastAsiaTheme="minorEastAsia" w:cstheme="minorEastAsia"/>
          <w:b w:val="0"/>
          <w:bCs w:val="0"/>
          <w:kern w:val="2"/>
          <w:sz w:val="21"/>
          <w:szCs w:val="21"/>
          <w:lang w:val="en-US" w:eastAsia="zh-CN" w:bidi="ar-SA"/>
        </w:rPr>
        <w:t>]，涉及技术指标、操作流程等方面。起草工作组对每条意见进行逐一分析，并形成《意见汇总处理表》，据此修改完善标准讨论稿，形成标准征求意见稿。</w:t>
      </w:r>
    </w:p>
    <w:p w14:paraId="77ED7043">
      <w:pPr>
        <w:pStyle w:val="3"/>
        <w:keepNext w:val="0"/>
        <w:keepLines w:val="0"/>
        <w:pageBreakBefore w:val="0"/>
        <w:widowControl/>
        <w:shd w:val="clear" w:color="auto" w:fill="FFFFFF"/>
        <w:kinsoku/>
        <w:wordWrap/>
        <w:overflowPunct/>
        <w:topLinePunct w:val="0"/>
        <w:autoSpaceDE/>
        <w:autoSpaceDN/>
        <w:bidi w:val="0"/>
        <w:adjustRightInd/>
        <w:snapToGrid/>
        <w:spacing w:before="157" w:beforeLines="50" w:beforeAutospacing="0" w:after="157" w:afterLines="50" w:afterAutospacing="0" w:line="360" w:lineRule="auto"/>
        <w:ind w:left="0"/>
        <w:textAlignment w:val="auto"/>
        <w:rPr>
          <w:rFonts w:hint="eastAsia" w:ascii="黑体" w:hAnsi="黑体" w:eastAsia="黑体" w:cs="黑体"/>
          <w:b w:val="0"/>
          <w:bCs w:val="0"/>
          <w:color w:val="000000"/>
          <w:sz w:val="21"/>
          <w:szCs w:val="21"/>
          <w:shd w:val="clear" w:color="auto" w:fill="FFFFFF"/>
        </w:rPr>
      </w:pPr>
      <w:r>
        <w:rPr>
          <w:rFonts w:hint="eastAsia" w:ascii="黑体" w:hAnsi="黑体" w:eastAsia="黑体" w:cs="黑体"/>
          <w:b w:val="0"/>
          <w:bCs w:val="0"/>
          <w:color w:val="000000"/>
          <w:sz w:val="21"/>
          <w:szCs w:val="21"/>
          <w:shd w:val="clear" w:color="auto" w:fill="FFFFFF"/>
        </w:rPr>
        <w:t>二、标准编制原则和确定标准主要内容的依据</w:t>
      </w:r>
    </w:p>
    <w:p w14:paraId="291563C8">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1. 科学性原则</w:t>
      </w:r>
    </w:p>
    <w:p w14:paraId="1A21B5C5">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firstLine="420" w:firstLineChars="200"/>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严格基于荧光定量免疫层析试纸条法的技术原理，结合大量实验数据确定技术指标。</w:t>
      </w:r>
      <w:r>
        <w:rPr>
          <w:rFonts w:hint="eastAsia" w:asciiTheme="minorEastAsia" w:hAnsiTheme="minorEastAsia" w:eastAsiaTheme="minorEastAsia" w:cstheme="minorEastAsia"/>
          <w:b w:val="0"/>
          <w:bCs w:val="0"/>
          <w:sz w:val="21"/>
          <w:szCs w:val="21"/>
          <w:lang w:val="en-US" w:eastAsia="zh-CN"/>
        </w:rPr>
        <w:t>通过</w:t>
      </w:r>
      <w:r>
        <w:rPr>
          <w:rFonts w:hint="eastAsia" w:asciiTheme="minorEastAsia" w:hAnsiTheme="minorEastAsia" w:eastAsiaTheme="minorEastAsia" w:cstheme="minorEastAsia"/>
          <w:b w:val="0"/>
          <w:bCs w:val="0"/>
          <w:sz w:val="21"/>
          <w:szCs w:val="21"/>
        </w:rPr>
        <w:t>批次阳性样品的检测验证，确保标准规定的检测限（如有机磷类农药 0.01mg/kg）低于国家标准限量，且检测结果的相对标准偏差（RSD）≤10%，满足科学检测的要求。</w:t>
      </w:r>
    </w:p>
    <w:p w14:paraId="2B088C0E">
      <w:pPr>
        <w:pStyle w:val="5"/>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360" w:lineRule="auto"/>
        <w:ind w:left="0"/>
        <w:textAlignment w:val="auto"/>
        <w:rPr>
          <w:rFonts w:hint="eastAsia" w:asciiTheme="minorEastAsia" w:hAnsiTheme="minorEastAsia" w:eastAsiaTheme="minorEastAsia" w:cstheme="minorEastAsia"/>
          <w:b w:val="0"/>
          <w:bCs w:val="0"/>
          <w:sz w:val="21"/>
          <w:szCs w:val="21"/>
        </w:rPr>
      </w:pPr>
      <w:r>
        <w:rPr>
          <w:rFonts w:hint="eastAsia" w:ascii="黑体" w:hAnsi="黑体" w:eastAsia="黑体" w:cs="黑体"/>
          <w:b w:val="0"/>
          <w:bCs w:val="0"/>
          <w:sz w:val="21"/>
          <w:szCs w:val="21"/>
        </w:rPr>
        <w:t>实用性原则</w:t>
      </w:r>
    </w:p>
    <w:p w14:paraId="1F947E79">
      <w:pPr>
        <w:spacing w:line="360" w:lineRule="auto"/>
        <w:ind w:firstLine="420" w:firstLineChars="200"/>
        <w:rPr>
          <w:rFonts w:hint="eastAsia" w:ascii="黑体" w:hAnsi="黑体" w:cs="黑体" w:eastAsiaTheme="minorEastAsia"/>
          <w:b w:val="0"/>
          <w:bCs w:val="0"/>
          <w:sz w:val="21"/>
          <w:szCs w:val="21"/>
          <w:lang w:val="en-US" w:eastAsia="zh-CN"/>
        </w:rPr>
      </w:pPr>
      <w:r>
        <w:rPr>
          <w:rFonts w:hint="eastAsia" w:asciiTheme="minorEastAsia" w:hAnsiTheme="minorEastAsia" w:eastAsiaTheme="minorEastAsia" w:cstheme="minorEastAsia"/>
          <w:b w:val="0"/>
          <w:bCs w:val="0"/>
          <w:sz w:val="21"/>
          <w:szCs w:val="21"/>
        </w:rPr>
        <w:t>充分考虑基层检测机构、生产企业的实际操作条件，简化操作流程，明确关键步骤的技术要求。并明确试剂用量、离心转速、稀释倍数等具体参数，确保操作人员可直接参照执</w:t>
      </w:r>
      <w:r>
        <w:rPr>
          <w:rFonts w:hint="eastAsia" w:asciiTheme="minorEastAsia" w:hAnsiTheme="minorEastAsia" w:cstheme="minorEastAsia"/>
          <w:b w:val="0"/>
          <w:bCs w:val="0"/>
          <w:sz w:val="21"/>
          <w:szCs w:val="21"/>
          <w:lang w:val="en-US" w:eastAsia="zh-CN"/>
        </w:rPr>
        <w:t>行，</w:t>
      </w:r>
    </w:p>
    <w:p w14:paraId="742AF366">
      <w:pPr>
        <w:pStyle w:val="5"/>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同时，推荐性价比高、易获取的检测设备（如便携式荧光定量检测仪），降低应用门槛。</w:t>
      </w:r>
    </w:p>
    <w:p w14:paraId="173F8B88">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3. 规范性原则</w:t>
      </w:r>
    </w:p>
    <w:p w14:paraId="4AE7A05E">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firstLine="420" w:firstLineChars="200"/>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严格遵循 GB/T 1.1-2020《标准化工作导则 第 1 部分：标准化文件的结构和起草规则》的要求，规范标准的术语定义、章节结构、表述方式。确保标准的严谨性与规范性。</w:t>
      </w:r>
    </w:p>
    <w:p w14:paraId="1C2FC615">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4. 协调性原则</w:t>
      </w:r>
    </w:p>
    <w:p w14:paraId="354C7D8D">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firstLine="420" w:firstLineChars="200"/>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确保本标准与现行法律法规、强制性标准及相关行业标准的协调一致。例如，引用 GB 2763-2024 作为农药残留限量的依据，引用 GB/T 6682-2022《分析实验室用水规格和试验方法》规定实验用水要求，引用 GB 14938-2018《食品安全国家标准 洗涤剂》规定样品处理过程中洗涤剂的使用标准，避免出现技术指标冲突或要求不一致的情况。</w:t>
      </w:r>
    </w:p>
    <w:p w14:paraId="435C571F">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left="0"/>
        <w:textAlignment w:val="auto"/>
        <w:rPr>
          <w:rFonts w:hint="eastAsia" w:ascii="黑体" w:hAnsi="黑体" w:eastAsia="黑体" w:cs="黑体"/>
          <w:b w:val="0"/>
          <w:bCs w:val="0"/>
          <w:color w:val="000000"/>
          <w:sz w:val="21"/>
          <w:szCs w:val="21"/>
        </w:rPr>
      </w:pPr>
      <w:r>
        <w:rPr>
          <w:rFonts w:hint="eastAsia" w:ascii="黑体" w:hAnsi="黑体" w:eastAsia="黑体" w:cs="黑体"/>
          <w:b w:val="0"/>
          <w:bCs w:val="0"/>
          <w:color w:val="000000"/>
          <w:sz w:val="21"/>
          <w:szCs w:val="21"/>
          <w:shd w:val="clear" w:color="auto" w:fill="FFFFFF"/>
        </w:rPr>
        <w:t>（二）确定标准主要内容的依据</w:t>
      </w:r>
    </w:p>
    <w:p w14:paraId="2313D046">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本标准主要内容的确定，以 “满足实际检测需求、保障检测结果准确、推动行业规范发展” 为核心，具体依据包括：</w:t>
      </w:r>
    </w:p>
    <w:p w14:paraId="7B4C59BD">
      <w:pPr>
        <w:pStyle w:val="13"/>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 w:val="0"/>
          <w:bCs w:val="0"/>
          <w:sz w:val="21"/>
          <w:szCs w:val="21"/>
        </w:rPr>
      </w:pPr>
      <w:r>
        <w:rPr>
          <w:rFonts w:hint="eastAsia" w:ascii="黑体" w:hAnsi="黑体" w:eastAsia="黑体" w:cs="黑体"/>
          <w:b w:val="0"/>
          <w:bCs w:val="0"/>
          <w:sz w:val="21"/>
          <w:szCs w:val="21"/>
        </w:rPr>
        <w:t>法律法规与强制性标准：</w:t>
      </w:r>
      <w:r>
        <w:rPr>
          <w:rFonts w:hint="eastAsia" w:asciiTheme="minorEastAsia" w:hAnsiTheme="minorEastAsia" w:eastAsiaTheme="minorEastAsia" w:cstheme="minorEastAsia"/>
          <w:b w:val="0"/>
          <w:bCs w:val="0"/>
          <w:sz w:val="21"/>
          <w:szCs w:val="21"/>
        </w:rPr>
        <w:t>严格依据《中华人民共和国食品安全法》《中华人民共和国农产品质量安全法》对食品检测的要求，以 GB 2763-2024《食品安全国家标准 食品中农药最大残留限量》为核心，确定检测对象（覆盖有机磷类、拟除虫菊酯类、氨基甲酸酯类等 20 余种常用农药）及检测限指标，确保标准符合国家食品安全监管要求。</w:t>
      </w:r>
    </w:p>
    <w:p w14:paraId="50FA4C83">
      <w:pPr>
        <w:pStyle w:val="13"/>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 w:val="0"/>
          <w:bCs w:val="0"/>
          <w:sz w:val="21"/>
          <w:szCs w:val="21"/>
        </w:rPr>
      </w:pPr>
      <w:r>
        <w:rPr>
          <w:rFonts w:hint="eastAsia" w:ascii="黑体" w:hAnsi="黑体" w:eastAsia="黑体" w:cs="黑体"/>
          <w:b w:val="0"/>
          <w:bCs w:val="0"/>
          <w:sz w:val="21"/>
          <w:szCs w:val="21"/>
        </w:rPr>
        <w:t>行业实践与需求：</w:t>
      </w:r>
      <w:r>
        <w:rPr>
          <w:rFonts w:hint="eastAsia" w:asciiTheme="minorEastAsia" w:hAnsiTheme="minorEastAsia" w:eastAsiaTheme="minorEastAsia" w:cstheme="minorEastAsia"/>
          <w:b w:val="0"/>
          <w:bCs w:val="0"/>
          <w:sz w:val="21"/>
          <w:szCs w:val="21"/>
        </w:rPr>
        <w:t>结合基层检测机构、果蔬生产企业的实际操作反馈，优化样品前处理流程，明确试纸条的储存条件及使用前的平衡时间，解决实际应用中 “操作复杂、结果不稳定” 的问题。</w:t>
      </w:r>
    </w:p>
    <w:p w14:paraId="7893DDC2">
      <w:pPr>
        <w:pStyle w:val="13"/>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 w:val="0"/>
          <w:bCs w:val="0"/>
          <w:sz w:val="21"/>
          <w:szCs w:val="21"/>
        </w:rPr>
      </w:pPr>
      <w:r>
        <w:rPr>
          <w:rFonts w:hint="eastAsia" w:ascii="黑体" w:hAnsi="黑体" w:eastAsia="黑体" w:cs="黑体"/>
          <w:b w:val="0"/>
          <w:bCs w:val="0"/>
          <w:sz w:val="21"/>
          <w:szCs w:val="21"/>
        </w:rPr>
        <w:t>国内外先进经验：</w:t>
      </w:r>
      <w:r>
        <w:rPr>
          <w:rFonts w:hint="eastAsia" w:asciiTheme="minorEastAsia" w:hAnsiTheme="minorEastAsia" w:eastAsiaTheme="minorEastAsia" w:cstheme="minorEastAsia"/>
          <w:b w:val="0"/>
          <w:bCs w:val="0"/>
          <w:sz w:val="21"/>
          <w:szCs w:val="21"/>
        </w:rPr>
        <w:t>参考国际标准化组织（ISO）、美国材料与试验协会（ASTM）关于快速检测方法的标准框架，结合我国果蔬产业特点，增加 “基质效应验证” 章节，规定当检测结果接近限量值时，需通过标准加入法验证基质干扰情况，确保检测结果的可靠性。</w:t>
      </w:r>
    </w:p>
    <w:p w14:paraId="4B14C911">
      <w:pPr>
        <w:pStyle w:val="3"/>
        <w:keepNext w:val="0"/>
        <w:keepLines w:val="0"/>
        <w:pageBreakBefore w:val="0"/>
        <w:widowControl/>
        <w:shd w:val="clear" w:color="auto" w:fill="FFFFFF"/>
        <w:kinsoku/>
        <w:wordWrap/>
        <w:overflowPunct/>
        <w:topLinePunct w:val="0"/>
        <w:autoSpaceDE/>
        <w:autoSpaceDN/>
        <w:bidi w:val="0"/>
        <w:adjustRightInd/>
        <w:snapToGrid/>
        <w:spacing w:before="157" w:beforeLines="50" w:beforeAutospacing="0" w:after="157" w:afterLines="50" w:afterAutospacing="0" w:line="360" w:lineRule="auto"/>
        <w:ind w:left="0"/>
        <w:textAlignment w:val="auto"/>
        <w:rPr>
          <w:rFonts w:hint="eastAsia" w:ascii="黑体" w:hAnsi="黑体" w:eastAsia="黑体" w:cs="黑体"/>
          <w:b w:val="0"/>
          <w:bCs w:val="0"/>
          <w:color w:val="000000"/>
          <w:sz w:val="21"/>
          <w:szCs w:val="21"/>
          <w:shd w:val="clear" w:color="auto" w:fill="FFFFFF"/>
        </w:rPr>
      </w:pPr>
      <w:r>
        <w:rPr>
          <w:rFonts w:hint="eastAsia" w:ascii="黑体" w:hAnsi="黑体" w:eastAsia="黑体" w:cs="黑体"/>
          <w:b w:val="0"/>
          <w:bCs w:val="0"/>
          <w:color w:val="000000"/>
          <w:sz w:val="21"/>
          <w:szCs w:val="21"/>
          <w:shd w:val="clear" w:color="auto" w:fill="FFFFFF"/>
        </w:rPr>
        <w:t>三、与现行法律法规、强制性标准和其他有关标准的关系，采用国际标准的程度及水平简要说明</w:t>
      </w:r>
    </w:p>
    <w:p w14:paraId="530B2198">
      <w:pPr>
        <w:pStyle w:val="4"/>
        <w:keepNext w:val="0"/>
        <w:keepLines w:val="0"/>
        <w:pageBreakBefore w:val="0"/>
        <w:kinsoku/>
        <w:wordWrap/>
        <w:overflowPunct/>
        <w:topLinePunct w:val="0"/>
        <w:autoSpaceDE/>
        <w:autoSpaceDN/>
        <w:bidi w:val="0"/>
        <w:adjustRightInd/>
        <w:snapToGrid/>
        <w:spacing w:beforeAutospacing="0" w:afterAutospacing="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（一）与现行法律法规、强制性标准的关系</w:t>
      </w:r>
    </w:p>
    <w:p w14:paraId="539DF2FD">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firstLine="420" w:firstLineChars="200"/>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本标准符合《中华人民共和国食品安全法》《中华人民共和国农产品质量安全法》中 “建立健全食品安全标准体系，保障食品安全” 的要求，无任何冲突。在技术指标上，严格衔接 GB 2763-2024《食品安全国家标准 食品中农药最大残留限量》，所规定的检测限均低于国家标准限量，确保检测结果能够有效支撑食品安全判定；在检测流程上，参考 GB/T 27404-2008《实验室质量控制规范 食品理化检测》的通用要求，细化荧光定量免疫层析试纸条法的专项质量控制措施（如阳性对照、阴性对照的设置要求），形成 “通用标准 + 专项规范” 的互补体系，进一步完善我国果蔬农药残留检测标准框架。</w:t>
      </w:r>
    </w:p>
    <w:p w14:paraId="57B2711A">
      <w:pPr>
        <w:pStyle w:val="4"/>
        <w:keepNext w:val="0"/>
        <w:keepLines w:val="0"/>
        <w:pageBreakBefore w:val="0"/>
        <w:kinsoku/>
        <w:wordWrap/>
        <w:overflowPunct/>
        <w:topLinePunct w:val="0"/>
        <w:autoSpaceDE/>
        <w:autoSpaceDN/>
        <w:bidi w:val="0"/>
        <w:adjustRightInd/>
        <w:snapToGrid/>
        <w:spacing w:beforeAutospacing="0" w:afterAutospacing="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（二）采用国际标准的程度及水平</w:t>
      </w:r>
    </w:p>
    <w:p w14:paraId="200F37EC">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firstLine="420" w:firstLineChars="200"/>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目前国际上尚未发布针对 “果蔬中农药残留快速定量检测 荧光定量免疫层析试纸条法” 的专项国际标准（ISO、IEC 等）。同时结合我国果蔬基质特点，增加了 “基质效应评估”“样品前处理优化” 等内容，弥补了国际指南在特定基质应用中的不足。</w:t>
      </w:r>
    </w:p>
    <w:p w14:paraId="07A01BB7">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firstLine="420" w:firstLineChars="200"/>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从技术水平来看，本标准规定的检测限（部分农药可达 0.005mg/kg）、检测时间（≤30 分钟）、重复性（RSD≤10%）等指标，达到国际先进水平，与美国、欧盟同类快速检测技术标准的核心指标相当，且在基质适应性、操作便捷性上更贴合我国基层检测需求，能够满足我国果蔬质量安全监管与产业发展的实际需要。</w:t>
      </w:r>
      <w:bookmarkStart w:id="1" w:name="_GoBack"/>
      <w:bookmarkEnd w:id="1"/>
    </w:p>
    <w:p w14:paraId="6348A2F5">
      <w:pPr>
        <w:pStyle w:val="3"/>
        <w:keepNext w:val="0"/>
        <w:keepLines w:val="0"/>
        <w:pageBreakBefore w:val="0"/>
        <w:widowControl/>
        <w:shd w:val="clear" w:color="auto" w:fill="FFFFFF"/>
        <w:kinsoku/>
        <w:wordWrap/>
        <w:overflowPunct/>
        <w:topLinePunct w:val="0"/>
        <w:autoSpaceDE/>
        <w:autoSpaceDN/>
        <w:bidi w:val="0"/>
        <w:adjustRightInd/>
        <w:snapToGrid/>
        <w:spacing w:before="157" w:beforeLines="50" w:beforeAutospacing="0" w:after="157" w:afterLines="50" w:afterAutospacing="0" w:line="360" w:lineRule="auto"/>
        <w:ind w:left="0"/>
        <w:textAlignment w:val="auto"/>
        <w:rPr>
          <w:rFonts w:hint="eastAsia" w:ascii="黑体" w:hAnsi="黑体" w:eastAsia="黑体" w:cs="黑体"/>
          <w:b w:val="0"/>
          <w:bCs w:val="0"/>
          <w:color w:val="000000"/>
          <w:sz w:val="21"/>
          <w:szCs w:val="21"/>
          <w:shd w:val="clear" w:color="auto" w:fill="FFFFFF"/>
        </w:rPr>
      </w:pPr>
      <w:r>
        <w:rPr>
          <w:rFonts w:hint="eastAsia" w:ascii="黑体" w:hAnsi="黑体" w:eastAsia="黑体" w:cs="黑体"/>
          <w:b w:val="0"/>
          <w:bCs w:val="0"/>
          <w:color w:val="000000"/>
          <w:sz w:val="21"/>
          <w:szCs w:val="21"/>
          <w:shd w:val="clear" w:color="auto" w:fill="FFFFFF"/>
        </w:rPr>
        <w:t>四、重大</w:t>
      </w:r>
      <w:r>
        <w:rPr>
          <w:rFonts w:hint="eastAsia" w:ascii="黑体" w:hAnsi="黑体" w:eastAsia="黑体" w:cs="黑体"/>
          <w:b w:val="0"/>
          <w:bCs w:val="0"/>
          <w:color w:val="000000"/>
          <w:kern w:val="0"/>
          <w:sz w:val="21"/>
          <w:szCs w:val="21"/>
          <w:shd w:val="clear" w:color="auto" w:fill="FFFFFF"/>
          <w:lang/>
        </w:rPr>
        <w:t>分歧</w:t>
      </w:r>
      <w:r>
        <w:rPr>
          <w:rFonts w:hint="eastAsia" w:ascii="黑体" w:hAnsi="黑体" w:eastAsia="黑体" w:cs="黑体"/>
          <w:b w:val="0"/>
          <w:bCs w:val="0"/>
          <w:color w:val="000000"/>
          <w:sz w:val="21"/>
          <w:szCs w:val="21"/>
          <w:shd w:val="clear" w:color="auto" w:fill="FFFFFF"/>
        </w:rPr>
        <w:t>意见的处理结果和依据</w:t>
      </w:r>
    </w:p>
    <w:p w14:paraId="3C47818D">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无</w:t>
      </w:r>
    </w:p>
    <w:p w14:paraId="1A3A5920">
      <w:pPr>
        <w:pStyle w:val="3"/>
        <w:keepNext w:val="0"/>
        <w:keepLines w:val="0"/>
        <w:pageBreakBefore w:val="0"/>
        <w:widowControl/>
        <w:shd w:val="clear" w:color="auto" w:fill="FFFFFF"/>
        <w:kinsoku/>
        <w:wordWrap/>
        <w:overflowPunct/>
        <w:topLinePunct w:val="0"/>
        <w:autoSpaceDE/>
        <w:autoSpaceDN/>
        <w:bidi w:val="0"/>
        <w:adjustRightInd/>
        <w:snapToGrid/>
        <w:spacing w:before="157" w:beforeLines="50" w:beforeAutospacing="0" w:after="157" w:afterLines="50" w:afterAutospacing="0" w:line="360" w:lineRule="auto"/>
        <w:ind w:left="0"/>
        <w:textAlignment w:val="auto"/>
        <w:rPr>
          <w:rFonts w:hint="eastAsia" w:ascii="黑体" w:hAnsi="黑体" w:eastAsia="黑体" w:cs="黑体"/>
          <w:b w:val="0"/>
          <w:bCs w:val="0"/>
          <w:color w:val="000000"/>
          <w:sz w:val="21"/>
          <w:szCs w:val="21"/>
          <w:shd w:val="clear" w:color="auto" w:fill="FFFFFF"/>
        </w:rPr>
      </w:pPr>
      <w:r>
        <w:rPr>
          <w:rFonts w:hint="eastAsia" w:ascii="黑体" w:hAnsi="黑体" w:eastAsia="黑体" w:cs="黑体"/>
          <w:b w:val="0"/>
          <w:bCs w:val="0"/>
          <w:color w:val="000000"/>
          <w:sz w:val="21"/>
          <w:szCs w:val="21"/>
          <w:shd w:val="clear" w:color="auto" w:fill="FFFFFF"/>
        </w:rPr>
        <w:t>五、贯彻促进会标准的要求和措施建议</w:t>
      </w:r>
    </w:p>
    <w:p w14:paraId="03675A0D">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（一）组织措施</w:t>
      </w:r>
    </w:p>
    <w:p w14:paraId="59E210A1">
      <w:pPr>
        <w:pStyle w:val="13"/>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20" w:firstLineChars="200"/>
        <w:textAlignment w:val="auto"/>
        <w:rPr>
          <w:rFonts w:hint="eastAsia" w:asciiTheme="minorEastAsia" w:hAnsiTheme="minorEastAsia" w:eastAsiaTheme="minorEastAsia" w:cstheme="minorEastAsia"/>
          <w:b w:val="0"/>
          <w:bCs w:val="0"/>
          <w:sz w:val="21"/>
          <w:szCs w:val="21"/>
        </w:rPr>
      </w:pPr>
      <w:r>
        <w:rPr>
          <w:rFonts w:hint="eastAsia" w:ascii="黑体" w:hAnsi="黑体" w:eastAsia="黑体" w:cs="黑体"/>
          <w:b w:val="0"/>
          <w:bCs w:val="0"/>
          <w:sz w:val="21"/>
          <w:szCs w:val="21"/>
        </w:rPr>
        <w:t>成立标准宣贯小组：</w:t>
      </w:r>
      <w:r>
        <w:rPr>
          <w:rFonts w:hint="eastAsia" w:asciiTheme="minorEastAsia" w:hAnsiTheme="minorEastAsia" w:eastAsiaTheme="minorEastAsia" w:cstheme="minorEastAsia"/>
          <w:b w:val="0"/>
          <w:bCs w:val="0"/>
          <w:sz w:val="21"/>
          <w:szCs w:val="21"/>
        </w:rPr>
        <w:t>由牵头单位联合团体标准制定组织，组建由技术专家、行业代表组成的宣贯小组，负责制定宣贯方案、编写宣贯材料。</w:t>
      </w:r>
    </w:p>
    <w:p w14:paraId="07D8EF6B">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（二）技术措施</w:t>
      </w:r>
    </w:p>
    <w:p w14:paraId="72018C95">
      <w:pPr>
        <w:pStyle w:val="13"/>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20" w:firstLineChars="200"/>
        <w:textAlignment w:val="auto"/>
        <w:rPr>
          <w:rFonts w:hint="eastAsia" w:asciiTheme="minorEastAsia" w:hAnsiTheme="minorEastAsia" w:eastAsiaTheme="minorEastAsia" w:cstheme="minorEastAsia"/>
          <w:b w:val="0"/>
          <w:bCs w:val="0"/>
          <w:sz w:val="21"/>
          <w:szCs w:val="21"/>
        </w:rPr>
      </w:pPr>
      <w:r>
        <w:rPr>
          <w:rFonts w:hint="eastAsia" w:ascii="黑体" w:hAnsi="黑体" w:eastAsia="黑体" w:cs="黑体"/>
          <w:b w:val="0"/>
          <w:bCs w:val="0"/>
          <w:sz w:val="21"/>
          <w:szCs w:val="21"/>
        </w:rPr>
        <w:t>建立标准验证平台：</w:t>
      </w:r>
      <w:r>
        <w:rPr>
          <w:rFonts w:hint="eastAsia" w:asciiTheme="minorEastAsia" w:hAnsiTheme="minorEastAsia" w:eastAsiaTheme="minorEastAsia" w:cstheme="minorEastAsia"/>
          <w:b w:val="0"/>
          <w:bCs w:val="0"/>
          <w:sz w:val="21"/>
          <w:szCs w:val="21"/>
        </w:rPr>
        <w:t>依托牵头单位或第三方检测机构，建立标准验证平台，为企业提供试纸条性能验证、检测方法比对等技术服务，帮助企业解决标准实施过程中的技术难题。</w:t>
      </w:r>
    </w:p>
    <w:p w14:paraId="3FBE4AB1">
      <w:pPr>
        <w:pStyle w:val="3"/>
        <w:keepNext w:val="0"/>
        <w:keepLines w:val="0"/>
        <w:pageBreakBefore w:val="0"/>
        <w:widowControl/>
        <w:shd w:val="clear" w:color="auto" w:fill="FFFFFF"/>
        <w:kinsoku/>
        <w:wordWrap/>
        <w:overflowPunct/>
        <w:topLinePunct w:val="0"/>
        <w:autoSpaceDE/>
        <w:autoSpaceDN/>
        <w:bidi w:val="0"/>
        <w:adjustRightInd/>
        <w:snapToGrid/>
        <w:spacing w:before="157" w:beforeLines="50" w:beforeAutospacing="0" w:after="157" w:afterLines="50" w:afterAutospacing="0" w:line="360" w:lineRule="auto"/>
        <w:ind w:left="0"/>
        <w:textAlignment w:val="auto"/>
        <w:rPr>
          <w:rFonts w:hint="eastAsia" w:asciiTheme="minorEastAsia" w:hAnsiTheme="minorEastAsia" w:eastAsiaTheme="minorEastAsia" w:cstheme="minorEastAsia"/>
          <w:b w:val="0"/>
          <w:bCs w:val="0"/>
          <w:sz w:val="21"/>
          <w:szCs w:val="21"/>
        </w:rPr>
      </w:pPr>
      <w:r>
        <w:rPr>
          <w:rFonts w:hint="eastAsia" w:ascii="黑体" w:hAnsi="黑体" w:eastAsia="黑体" w:cs="黑体"/>
          <w:b w:val="0"/>
          <w:bCs w:val="0"/>
          <w:color w:val="000000"/>
          <w:sz w:val="21"/>
          <w:szCs w:val="21"/>
          <w:shd w:val="clear" w:color="auto" w:fill="FFFFFF"/>
        </w:rPr>
        <w:t>六、其他应予说明的事项</w:t>
      </w:r>
    </w:p>
    <w:p w14:paraId="38CA30E4">
      <w:pPr>
        <w:pStyle w:val="13"/>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22" w:firstLineChars="200"/>
        <w:textAlignment w:val="auto"/>
        <w:rPr>
          <w:rStyle w:val="10"/>
          <w:rFonts w:hint="eastAsia" w:asciiTheme="minorEastAsia" w:hAnsiTheme="minorEastAsia" w:eastAsiaTheme="minorEastAsia" w:cstheme="minorEastAsia"/>
          <w:b w:val="0"/>
          <w:bCs w:val="0"/>
          <w:color w:val="000000"/>
          <w:sz w:val="21"/>
          <w:szCs w:val="21"/>
          <w:shd w:val="clear" w:color="auto" w:fill="FFFFFF"/>
          <w:lang w:val="en-US" w:eastAsia="zh-CN"/>
        </w:rPr>
      </w:pPr>
      <w:r>
        <w:rPr>
          <w:rFonts w:hint="eastAsia" w:asciiTheme="minorEastAsia" w:hAnsiTheme="minorEastAsia" w:eastAsiaTheme="minorEastAsia" w:cstheme="minorEastAsia"/>
          <w:b/>
          <w:bCs/>
          <w:sz w:val="21"/>
          <w:szCs w:val="21"/>
        </w:rPr>
        <w:t>专利声明：</w:t>
      </w:r>
      <w:r>
        <w:rPr>
          <w:rFonts w:hint="eastAsia" w:asciiTheme="minorEastAsia" w:hAnsiTheme="minorEastAsia" w:eastAsiaTheme="minorEastAsia" w:cstheme="minorEastAsia"/>
          <w:b w:val="0"/>
          <w:bCs w:val="0"/>
          <w:sz w:val="21"/>
          <w:szCs w:val="21"/>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E218B3"/>
    <w:multiLevelType w:val="singleLevel"/>
    <w:tmpl w:val="2BE218B3"/>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CD198A"/>
    <w:rsid w:val="000414B6"/>
    <w:rsid w:val="000A1A85"/>
    <w:rsid w:val="002175B2"/>
    <w:rsid w:val="00B11C67"/>
    <w:rsid w:val="02CE1C55"/>
    <w:rsid w:val="0FC14BAE"/>
    <w:rsid w:val="1029421A"/>
    <w:rsid w:val="10F42D61"/>
    <w:rsid w:val="1ABF0C7A"/>
    <w:rsid w:val="2537730A"/>
    <w:rsid w:val="2CAF07F8"/>
    <w:rsid w:val="3B6D6D2C"/>
    <w:rsid w:val="3D9F5C7F"/>
    <w:rsid w:val="3EAD617A"/>
    <w:rsid w:val="46DC584E"/>
    <w:rsid w:val="4710374A"/>
    <w:rsid w:val="4B30329B"/>
    <w:rsid w:val="4F2E0A82"/>
    <w:rsid w:val="59CD198A"/>
    <w:rsid w:val="648670E6"/>
    <w:rsid w:val="68A77F59"/>
    <w:rsid w:val="6E3A2CD6"/>
    <w:rsid w:val="73E940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5">
    <w:name w:val="heading 4"/>
    <w:next w:val="1"/>
    <w:qFormat/>
    <w:uiPriority w:val="0"/>
    <w:pPr>
      <w:spacing w:before="260" w:after="120" w:line="288" w:lineRule="auto"/>
      <w:ind w:left="0"/>
      <w:jc w:val="left"/>
      <w:outlineLvl w:val="3"/>
    </w:pPr>
    <w:rPr>
      <w:rFonts w:ascii="Arial" w:hAnsi="Arial" w:eastAsia="等线" w:cs="Arial"/>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12"/>
    <w:qFormat/>
    <w:uiPriority w:val="0"/>
    <w:pPr>
      <w:tabs>
        <w:tab w:val="center" w:pos="4153"/>
        <w:tab w:val="right" w:pos="8306"/>
      </w:tabs>
      <w:snapToGrid w:val="0"/>
      <w:jc w:val="left"/>
    </w:pPr>
    <w:rPr>
      <w:sz w:val="18"/>
      <w:szCs w:val="18"/>
    </w:rPr>
  </w:style>
  <w:style w:type="paragraph" w:styleId="7">
    <w:name w:val="header"/>
    <w:basedOn w:val="1"/>
    <w:link w:val="11"/>
    <w:qFormat/>
    <w:uiPriority w:val="0"/>
    <w:pPr>
      <w:tabs>
        <w:tab w:val="center" w:pos="4153"/>
        <w:tab w:val="right" w:pos="8306"/>
      </w:tabs>
      <w:snapToGrid w:val="0"/>
      <w:jc w:val="center"/>
    </w:pPr>
    <w:rPr>
      <w:sz w:val="18"/>
      <w:szCs w:val="18"/>
    </w:rPr>
  </w:style>
  <w:style w:type="character" w:styleId="10">
    <w:name w:val="Strong"/>
    <w:basedOn w:val="9"/>
    <w:qFormat/>
    <w:uiPriority w:val="0"/>
    <w:rPr>
      <w:b/>
    </w:rPr>
  </w:style>
  <w:style w:type="character" w:customStyle="1" w:styleId="11">
    <w:name w:val="页眉 字符"/>
    <w:basedOn w:val="9"/>
    <w:link w:val="7"/>
    <w:uiPriority w:val="0"/>
    <w:rPr>
      <w:rFonts w:asciiTheme="minorHAnsi" w:hAnsiTheme="minorHAnsi" w:eastAsiaTheme="minorEastAsia" w:cstheme="minorBidi"/>
      <w:kern w:val="2"/>
      <w:sz w:val="18"/>
      <w:szCs w:val="18"/>
    </w:rPr>
  </w:style>
  <w:style w:type="character" w:customStyle="1" w:styleId="12">
    <w:name w:val="页脚 字符"/>
    <w:basedOn w:val="9"/>
    <w:link w:val="6"/>
    <w:qFormat/>
    <w:uiPriority w:val="0"/>
    <w:rPr>
      <w:rFonts w:asciiTheme="minorHAnsi" w:hAnsiTheme="minorHAnsi" w:eastAsiaTheme="minorEastAsia" w:cstheme="minorBidi"/>
      <w:kern w:val="2"/>
      <w:sz w:val="18"/>
      <w:szCs w:val="18"/>
    </w:rPr>
  </w:style>
  <w:style w:type="paragraph" w:customStyle="1" w:styleId="13">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3062</Words>
  <Characters>3218</Characters>
  <Lines>23</Lines>
  <Paragraphs>18</Paragraphs>
  <TotalTime>1</TotalTime>
  <ScaleCrop>false</ScaleCrop>
  <LinksUpToDate>false</LinksUpToDate>
  <CharactersWithSpaces>3311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2025-09-23T09:37:00Z</dcterms:created>
  <dc:creator>陈</dc:creator>
  <cp:lastModifiedBy>高</cp:lastModifiedBy>
  <dcterms:modified xsi:type="dcterms:W3CDTF">2025-09-25T09:37:34Z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C28D1315052D4E46B125D3CB1D18C42C_13</vt:lpwstr>
  </property>
  <property fmtid="{D5CDD505-2E9C-101B-9397-08002B2CF9AE}" pid="4" name="KSOTemplateDocerSaveRecord">
    <vt:lpwstr>eyJoZGlkIjoiMTFjMmQ3MjM3ZGM2NWNlMzBiNmI3MDNlMjc0OGI2NTEiLCJ1c2VySWQiOiIxNjcyMzUzNDUxIn0=</vt:lpwstr>
  </property>
</Properties>
</file>